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FE629">
      <w:pPr>
        <w:adjustRightInd w:val="0"/>
        <w:snapToGrid w:val="0"/>
        <w:spacing w:line="500" w:lineRule="atLeast"/>
        <w:jc w:val="center"/>
        <w:rPr>
          <w:rFonts w:hint="eastAsia" w:ascii="方正小标宋_GBK" w:eastAsia="方正小标宋_GBK"/>
          <w:b/>
          <w:color w:val="FF0000"/>
          <w:sz w:val="68"/>
          <w:szCs w:val="68"/>
        </w:rPr>
      </w:pPr>
      <w:r>
        <w:rPr>
          <w:rFonts w:hint="eastAsia" w:ascii="方正小标宋_GBK" w:eastAsia="方正小标宋_GBK"/>
          <w:b w:val="0"/>
          <w:bCs/>
          <w:color w:val="FF0000"/>
          <w:sz w:val="68"/>
          <w:szCs w:val="68"/>
        </w:rPr>
        <w:t>南通市住房和城乡建设局文件</w:t>
      </w:r>
    </w:p>
    <w:p w14:paraId="6A84B31F">
      <w:pPr>
        <w:adjustRightInd w:val="0"/>
        <w:snapToGrid w:val="0"/>
        <w:spacing w:line="500" w:lineRule="atLeast"/>
        <w:jc w:val="center"/>
        <w:rPr>
          <w:rFonts w:hint="eastAsia" w:ascii="方正仿宋_GBK" w:eastAsia="方正仿宋_GBK"/>
          <w:color w:val="000000"/>
          <w:szCs w:val="32"/>
        </w:rPr>
      </w:pPr>
    </w:p>
    <w:p w14:paraId="0D5C8E40">
      <w:pPr>
        <w:adjustRightInd w:val="0"/>
        <w:snapToGrid w:val="0"/>
        <w:spacing w:line="500" w:lineRule="atLeast"/>
        <w:jc w:val="center"/>
        <w:rPr>
          <w:rFonts w:hint="eastAsia" w:ascii="方正仿宋_GBK" w:eastAsia="方正仿宋_GBK"/>
          <w:color w:val="000000"/>
          <w:szCs w:val="32"/>
          <w:lang w:val="en-US" w:eastAsia="zh-CN"/>
        </w:rPr>
      </w:pPr>
      <w:r>
        <w:rPr>
          <w:rFonts w:hint="eastAsia" w:ascii="方正仿宋_GBK" w:eastAsia="方正仿宋_GBK"/>
          <w:color w:val="000000"/>
          <w:szCs w:val="32"/>
        </w:rPr>
        <w:t>通住建安质〔2025〕78号</w:t>
      </w:r>
    </w:p>
    <w:p w14:paraId="22804B89">
      <w:pPr>
        <w:adjustRightInd w:val="0"/>
        <w:snapToGrid w:val="0"/>
        <w:spacing w:line="500" w:lineRule="atLeast"/>
        <w:jc w:val="center"/>
        <w:rPr>
          <w:rFonts w:hint="eastAsia" w:ascii="方正仿宋_GBK" w:eastAsia="方正仿宋_GBK"/>
          <w:color w:val="000000"/>
          <w:szCs w:val="32"/>
        </w:rPr>
      </w:pPr>
      <w:r>
        <w:rPr>
          <w:rFonts w:hint="eastAsia" w:ascii="方正仿宋_GBK" w:eastAsia="方正仿宋_GBK"/>
          <w:color w:val="000000"/>
          <w:szCs w:val="32"/>
        </w:rPr>
        <mc:AlternateContent>
          <mc:Choice Requires="wps">
            <w:drawing>
              <wp:anchor distT="0" distB="0" distL="113665" distR="113665" simplePos="0" relativeHeight="251659264" behindDoc="0" locked="0" layoutInCell="0" allowOverlap="1">
                <wp:simplePos x="0" y="0"/>
                <wp:positionH relativeFrom="column">
                  <wp:posOffset>38100</wp:posOffset>
                </wp:positionH>
                <wp:positionV relativeFrom="paragraph">
                  <wp:posOffset>100330</wp:posOffset>
                </wp:positionV>
                <wp:extent cx="5671820" cy="0"/>
                <wp:effectExtent l="0" t="0" r="0" b="0"/>
                <wp:wrapNone/>
                <wp:docPr id="7" name="直线 2"/>
                <wp:cNvGraphicFramePr/>
                <a:graphic xmlns:a="http://schemas.openxmlformats.org/drawingml/2006/main">
                  <a:graphicData uri="http://schemas.microsoft.com/office/word/2010/wordprocessingShape">
                    <wps:wsp>
                      <wps:cNvCnPr/>
                      <wps:spPr>
                        <a:xfrm>
                          <a:off x="0" y="0"/>
                          <a:ext cx="5671820" cy="0"/>
                        </a:xfrm>
                        <a:prstGeom prst="line">
                          <a:avLst/>
                        </a:prstGeom>
                        <a:noFill/>
                        <a:ln w="25400"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线 2" o:spid="_x0000_s1026" o:spt="20" style="position:absolute;left:0pt;margin-left:3pt;margin-top:7.9pt;height:0pt;width:446.6pt;z-index:251659264;mso-width-relative:page;mso-height-relative:page;" filled="f" stroked="t" coordsize="21600,21600" o:allowincell="f" o:gfxdata="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fOcM/VAAAABwEAAA8AAAAAAAAA&#10;AQAgAAAAIgAAAGRycy9kb3ducmV2LnhtbFBLAQIUABQAAAAIAIdO4kCTGlAHFAIAAB4EAAAOAAAA&#10;AAAAAAEAIAAAACQBAABkcnMvZTJvRG9jLnhtbFBLBQYAAAAABgAGAFkBAACqBQAAAAA=&#10;">
                <v:fill on="f" focussize="0,0"/>
                <v:stroke weight="2pt" color="#FF0000" joinstyle="round"/>
                <v:imagedata o:title=""/>
                <o:lock v:ext="edit" aspectratio="f"/>
              </v:line>
            </w:pict>
          </mc:Fallback>
        </mc:AlternateContent>
      </w:r>
    </w:p>
    <w:p w14:paraId="0777DB77">
      <w:pPr>
        <w:keepNext w:val="0"/>
        <w:keepLines w:val="0"/>
        <w:pageBreakBefore w:val="0"/>
        <w:widowControl w:val="0"/>
        <w:kinsoku/>
        <w:wordWrap/>
        <w:overflowPunct/>
        <w:topLinePunct w:val="0"/>
        <w:autoSpaceDE/>
        <w:autoSpaceDN/>
        <w:bidi w:val="0"/>
        <w:adjustRightInd w:val="0"/>
        <w:snapToGrid/>
        <w:spacing w:line="590" w:lineRule="atLeast"/>
        <w:textAlignment w:val="baseline"/>
        <w:rPr>
          <w:rFonts w:hint="eastAsia" w:ascii="方正仿宋_GBK" w:eastAsia="方正仿宋_GBK"/>
          <w:szCs w:val="32"/>
          <w:lang w:val="en-US" w:eastAsia="zh-CN"/>
        </w:rPr>
      </w:pPr>
    </w:p>
    <w:p w14:paraId="2A1E7AE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eastAsia="方正小标宋_GBK"/>
          <w:kern w:val="2"/>
          <w:sz w:val="44"/>
          <w:szCs w:val="44"/>
        </w:rPr>
      </w:pPr>
      <w:r>
        <w:rPr>
          <w:rFonts w:eastAsia="方正小标宋_GBK"/>
          <w:kern w:val="2"/>
          <w:sz w:val="44"/>
          <w:szCs w:val="44"/>
        </w:rPr>
        <w:t>关于推行工程建筑材料检测机构现场</w:t>
      </w:r>
    </w:p>
    <w:p w14:paraId="4991F4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eastAsia="方正小标宋_GBK"/>
          <w:kern w:val="2"/>
          <w:sz w:val="44"/>
          <w:szCs w:val="44"/>
        </w:rPr>
      </w:pPr>
      <w:r>
        <w:rPr>
          <w:rFonts w:eastAsia="方正小标宋_GBK"/>
          <w:kern w:val="2"/>
          <w:sz w:val="44"/>
          <w:szCs w:val="44"/>
        </w:rPr>
        <w:t>取样工作的通知</w:t>
      </w:r>
    </w:p>
    <w:p w14:paraId="1E0772D9">
      <w:pPr>
        <w:keepNext w:val="0"/>
        <w:keepLines w:val="0"/>
        <w:pageBreakBefore w:val="0"/>
        <w:widowControl w:val="0"/>
        <w:kinsoku/>
        <w:wordWrap/>
        <w:overflowPunct/>
        <w:topLinePunct w:val="0"/>
        <w:autoSpaceDE/>
        <w:autoSpaceDN/>
        <w:bidi w:val="0"/>
        <w:adjustRightInd/>
        <w:snapToGrid/>
        <w:spacing w:line="590" w:lineRule="exact"/>
        <w:textAlignment w:val="auto"/>
        <w:rPr>
          <w:rFonts w:eastAsia="宋体"/>
          <w:kern w:val="2"/>
          <w:sz w:val="44"/>
          <w:szCs w:val="44"/>
        </w:rPr>
      </w:pPr>
      <w:bookmarkStart w:id="0" w:name="_GoBack"/>
      <w:bookmarkEnd w:id="0"/>
    </w:p>
    <w:p w14:paraId="4C9DDA50">
      <w:pPr>
        <w:keepNext w:val="0"/>
        <w:keepLines w:val="0"/>
        <w:pageBreakBefore w:val="0"/>
        <w:widowControl w:val="0"/>
        <w:kinsoku/>
        <w:wordWrap/>
        <w:overflowPunct/>
        <w:topLinePunct w:val="0"/>
        <w:autoSpaceDE/>
        <w:autoSpaceDN/>
        <w:bidi w:val="0"/>
        <w:adjustRightInd/>
        <w:snapToGrid/>
        <w:spacing w:line="590" w:lineRule="exact"/>
        <w:textAlignment w:val="auto"/>
        <w:rPr>
          <w:rFonts w:eastAsia="方正仿宋_GBK"/>
          <w:kern w:val="2"/>
          <w:szCs w:val="32"/>
        </w:rPr>
      </w:pPr>
      <w:r>
        <w:rPr>
          <w:rFonts w:eastAsia="方正仿宋_GBK"/>
          <w:kern w:val="2"/>
          <w:szCs w:val="32"/>
        </w:rPr>
        <w:t>各县（市）区住建（建工、建交、规建、市政绿化）局，各有关单位：</w:t>
      </w:r>
    </w:p>
    <w:p w14:paraId="317813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为进一步规范建设工程质量检测行为，保证建筑材料检测试样的符合性、真实性及代表性，杜绝虚假取样和送样，根据《</w:t>
      </w:r>
      <w:r>
        <w:rPr>
          <w:rFonts w:hint="eastAsia" w:ascii="方正仿宋_GBK" w:eastAsia="方正仿宋_GBK"/>
          <w:spacing w:val="-6"/>
          <w:kern w:val="2"/>
          <w:szCs w:val="32"/>
        </w:rPr>
        <w:t>建设工程质量检测管理办法</w:t>
      </w:r>
      <w:r>
        <w:rPr>
          <w:rFonts w:hint="eastAsia" w:ascii="方正仿宋_GBK" w:eastAsia="方正仿宋_GBK"/>
          <w:kern w:val="2"/>
          <w:szCs w:val="32"/>
        </w:rPr>
        <w:t>》《住房城乡建设部办公厅关于开展城镇住宅工程质量问题重点整治的通知》（建办质〔2025〕25号）相关要求，经研究，决定在全市推行工程建筑材料检测机构现场取样工作。有关事宜通知如下。</w:t>
      </w:r>
    </w:p>
    <w:p w14:paraId="1E5A0F7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ascii="Times New Roman" w:hAnsi="Times New Roman" w:eastAsia="方正黑体_GBK" w:cs="Times New Roman"/>
          <w:b w:val="0"/>
          <w:bCs w:val="0"/>
          <w:kern w:val="2"/>
          <w:sz w:val="32"/>
          <w:szCs w:val="32"/>
          <w:lang w:val="en-US" w:eastAsia="zh-CN" w:bidi="ar-SA"/>
        </w:rPr>
      </w:pPr>
      <w:r>
        <w:rPr>
          <w:rFonts w:ascii="Times New Roman" w:hAnsi="Times New Roman" w:eastAsia="方正黑体_GBK" w:cs="Times New Roman"/>
          <w:b w:val="0"/>
          <w:bCs w:val="0"/>
          <w:kern w:val="2"/>
          <w:sz w:val="32"/>
          <w:szCs w:val="32"/>
          <w:lang w:val="en-US" w:eastAsia="zh-CN" w:bidi="ar-SA"/>
        </w:rPr>
        <w:t>一、取样范围和内容</w:t>
      </w:r>
    </w:p>
    <w:p w14:paraId="3D5AFA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全市范围内在建房屋建筑和市政基础设施工程，需对以下类别建筑材料推行检测机构现场取样：混凝土试块（设计强度≥C40）、钢筋连接接头试件、保温材料、防水材料、电线电缆。</w:t>
      </w:r>
    </w:p>
    <w:p w14:paraId="09A5C4DC">
      <w:pPr>
        <w:pStyle w:val="9"/>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ascii="Times New Roman" w:hAnsi="Times New Roman" w:eastAsia="方正黑体_GBK" w:cs="Times New Roman"/>
          <w:b w:val="0"/>
          <w:bCs w:val="0"/>
          <w:kern w:val="2"/>
          <w:sz w:val="32"/>
          <w:szCs w:val="32"/>
          <w:lang w:val="en-US" w:eastAsia="zh-CN" w:bidi="ar-SA"/>
        </w:rPr>
      </w:pPr>
      <w:r>
        <w:rPr>
          <w:rFonts w:ascii="Times New Roman" w:hAnsi="Times New Roman" w:eastAsia="方正黑体_GBK" w:cs="Times New Roman"/>
          <w:b w:val="0"/>
          <w:bCs w:val="0"/>
          <w:kern w:val="2"/>
          <w:sz w:val="32"/>
          <w:szCs w:val="32"/>
          <w:lang w:val="en-US" w:eastAsia="zh-CN" w:bidi="ar-SA"/>
        </w:rPr>
        <w:t>二、工作职责</w:t>
      </w:r>
    </w:p>
    <w:p w14:paraId="01E613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方正仿宋_GBK"/>
          <w:kern w:val="2"/>
          <w:szCs w:val="32"/>
        </w:rPr>
      </w:pPr>
      <w:r>
        <w:rPr>
          <w:rFonts w:eastAsia="方正楷体_GBK"/>
          <w:snapToGrid w:val="0"/>
        </w:rPr>
        <w:t>（一）建设单位。</w:t>
      </w:r>
      <w:r>
        <w:rPr>
          <w:rFonts w:eastAsia="方正仿宋_GBK"/>
          <w:kern w:val="2"/>
          <w:szCs w:val="32"/>
        </w:rPr>
        <w:t>建设单位应委托具有相应资质的检测机构开展工程质量检测，组织施工单位、监理单位和检测机构开展以上类别建筑材料现场取样检测，</w:t>
      </w:r>
      <w:r>
        <w:rPr>
          <w:rFonts w:hint="eastAsia" w:eastAsia="方正仿宋_GBK"/>
          <w:kern w:val="2"/>
          <w:szCs w:val="32"/>
        </w:rPr>
        <w:t>在施工现场填写材料检测委托单</w:t>
      </w:r>
      <w:r>
        <w:rPr>
          <w:rFonts w:eastAsia="方正仿宋_GBK"/>
          <w:kern w:val="2"/>
          <w:szCs w:val="32"/>
        </w:rPr>
        <w:t>。</w:t>
      </w:r>
    </w:p>
    <w:p w14:paraId="28E00E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方正仿宋_GBK"/>
          <w:kern w:val="2"/>
          <w:szCs w:val="32"/>
        </w:rPr>
      </w:pPr>
      <w:r>
        <w:rPr>
          <w:rFonts w:eastAsia="方正仿宋_GBK"/>
          <w:kern w:val="2"/>
          <w:szCs w:val="32"/>
        </w:rPr>
        <w:t>对施工现场取样工作的真实性进行管理。定期检查建筑材料检测机构现场取样工作的开展情况，对发现的问题及时督促整改</w:t>
      </w:r>
      <w:r>
        <w:rPr>
          <w:rFonts w:hint="eastAsia" w:eastAsia="方正仿宋_GBK"/>
          <w:kern w:val="2"/>
          <w:szCs w:val="32"/>
        </w:rPr>
        <w:t>。</w:t>
      </w:r>
    </w:p>
    <w:p w14:paraId="1596E2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方正仿宋_GBK"/>
          <w:kern w:val="2"/>
          <w:szCs w:val="32"/>
        </w:rPr>
      </w:pPr>
      <w:r>
        <w:rPr>
          <w:rFonts w:eastAsia="方正楷体_GBK"/>
          <w:snapToGrid w:val="0"/>
        </w:rPr>
        <w:t>（二）监理单位</w:t>
      </w:r>
      <w:r>
        <w:rPr>
          <w:rFonts w:hint="eastAsia" w:eastAsia="方正楷体_GBK"/>
          <w:snapToGrid w:val="0"/>
        </w:rPr>
        <w:t>、</w:t>
      </w:r>
      <w:r>
        <w:rPr>
          <w:rFonts w:eastAsia="方正楷体_GBK"/>
          <w:snapToGrid w:val="0"/>
        </w:rPr>
        <w:t>施工单位。</w:t>
      </w:r>
      <w:r>
        <w:rPr>
          <w:rFonts w:hint="eastAsia" w:eastAsia="方正仿宋_GBK"/>
          <w:kern w:val="2"/>
          <w:szCs w:val="32"/>
        </w:rPr>
        <w:t>监理单位</w:t>
      </w:r>
      <w:r>
        <w:rPr>
          <w:rFonts w:eastAsia="方正仿宋_GBK"/>
          <w:kern w:val="2"/>
          <w:szCs w:val="32"/>
        </w:rPr>
        <w:t>应在以上类别建筑材料批量进场</w:t>
      </w:r>
      <w:r>
        <w:rPr>
          <w:rFonts w:hint="eastAsia" w:eastAsia="方正仿宋_GBK"/>
          <w:kern w:val="2"/>
          <w:szCs w:val="32"/>
        </w:rPr>
        <w:t>举牌</w:t>
      </w:r>
      <w:r>
        <w:rPr>
          <w:rFonts w:eastAsia="方正仿宋_GBK"/>
          <w:kern w:val="2"/>
          <w:szCs w:val="32"/>
        </w:rPr>
        <w:t>验收</w:t>
      </w:r>
      <w:r>
        <w:rPr>
          <w:rFonts w:eastAsia="方正仿宋_GBK"/>
          <w:spacing w:val="0"/>
          <w:kern w:val="0"/>
          <w:szCs w:val="32"/>
          <w:fitText w:val="640" w:id="6155"/>
        </w:rPr>
        <w:t>后（</w:t>
      </w:r>
      <w:r>
        <w:rPr>
          <w:rFonts w:eastAsia="方正仿宋_GBK"/>
          <w:kern w:val="2"/>
          <w:szCs w:val="32"/>
        </w:rPr>
        <w:t>钢筋连接接头</w:t>
      </w:r>
      <w:r>
        <w:rPr>
          <w:rFonts w:hint="eastAsia" w:eastAsia="方正仿宋_GBK"/>
          <w:kern w:val="2"/>
          <w:szCs w:val="32"/>
        </w:rPr>
        <w:t>外观质量检查合格后、</w:t>
      </w:r>
      <w:r>
        <w:rPr>
          <w:rFonts w:eastAsia="方正仿宋_GBK"/>
          <w:kern w:val="2"/>
          <w:szCs w:val="32"/>
        </w:rPr>
        <w:t>混凝土试块</w:t>
      </w:r>
      <w:r>
        <w:rPr>
          <w:rFonts w:hint="eastAsia" w:eastAsia="方正仿宋_GBK"/>
          <w:kern w:val="2"/>
          <w:szCs w:val="32"/>
        </w:rPr>
        <w:t>脱模后</w:t>
      </w:r>
      <w:r>
        <w:rPr>
          <w:rFonts w:eastAsia="方正仿宋_GBK"/>
          <w:kern w:val="2"/>
          <w:szCs w:val="32"/>
        </w:rPr>
        <w:t>），通知检测机构至施工现场取样，制作见证记录，记录抽样、取样、制样、标识、封志等情况，对见证</w:t>
      </w:r>
      <w:r>
        <w:rPr>
          <w:rFonts w:hint="eastAsia" w:eastAsia="方正仿宋_GBK"/>
          <w:kern w:val="2"/>
          <w:szCs w:val="32"/>
        </w:rPr>
        <w:t>全</w:t>
      </w:r>
      <w:r>
        <w:rPr>
          <w:rFonts w:eastAsia="方正仿宋_GBK"/>
          <w:kern w:val="2"/>
          <w:szCs w:val="32"/>
        </w:rPr>
        <w:t>过程拍摄影像记录</w:t>
      </w:r>
      <w:r>
        <w:rPr>
          <w:rFonts w:hint="eastAsia" w:eastAsia="方正仿宋_GBK"/>
          <w:kern w:val="2"/>
          <w:szCs w:val="32"/>
        </w:rPr>
        <w:t>并</w:t>
      </w:r>
      <w:r>
        <w:rPr>
          <w:rFonts w:eastAsia="方正仿宋_GBK"/>
          <w:kern w:val="2"/>
          <w:szCs w:val="32"/>
        </w:rPr>
        <w:t>保存</w:t>
      </w:r>
      <w:r>
        <w:rPr>
          <w:rFonts w:hint="eastAsia" w:eastAsia="方正仿宋_GBK"/>
          <w:kern w:val="2"/>
          <w:szCs w:val="32"/>
        </w:rPr>
        <w:t>至工程竣工验收，检测机构取样情况需在工程质量监理月报中体现。施工单位应配合检测机构做好制样工作，</w:t>
      </w:r>
      <w:r>
        <w:rPr>
          <w:rFonts w:eastAsia="方正仿宋_GBK"/>
          <w:kern w:val="2"/>
          <w:szCs w:val="32"/>
        </w:rPr>
        <w:t>并在工地留样室留存</w:t>
      </w:r>
      <w:r>
        <w:rPr>
          <w:rFonts w:hint="eastAsia" w:eastAsia="方正仿宋_GBK"/>
          <w:kern w:val="2"/>
          <w:szCs w:val="32"/>
        </w:rPr>
        <w:t>相应数量</w:t>
      </w:r>
      <w:r>
        <w:rPr>
          <w:rFonts w:eastAsia="方正仿宋_GBK"/>
          <w:kern w:val="2"/>
          <w:szCs w:val="32"/>
        </w:rPr>
        <w:t>检测样品至工程竣工验收。施工单位、监理单位应严格落实先检后用制度，建筑材料未经检测或经检测不合格的，不得使用。</w:t>
      </w:r>
    </w:p>
    <w:p w14:paraId="2715C4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方正仿宋_GBK"/>
          <w:kern w:val="2"/>
          <w:szCs w:val="32"/>
        </w:rPr>
      </w:pPr>
      <w:r>
        <w:rPr>
          <w:rFonts w:eastAsia="方正楷体_GBK"/>
          <w:snapToGrid w:val="0"/>
        </w:rPr>
        <w:t>（三）检测机构。</w:t>
      </w:r>
      <w:r>
        <w:rPr>
          <w:rFonts w:hint="eastAsia" w:ascii="方正仿宋_GBK" w:eastAsia="方正仿宋_GBK"/>
          <w:kern w:val="2"/>
          <w:szCs w:val="32"/>
        </w:rPr>
        <w:t>检测机构应按检测计划至施工现场对以上类别建筑材料进行抽样、取样、封样，施工现场发现建筑材料未批量进场或符合性、真实性、代表性不符合要求的，应拒绝取样。检测机构在取样及检测过程中发现建设、施工、监理单位存在违反有关法律法规和工程建设强制性标准等行为，以及检测结果不合格的，应立即上报主管部门。非破坏性检测且可重复检验的试样，应在样品检测后留置2个月。检测机构检</w:t>
      </w:r>
      <w:r>
        <w:rPr>
          <w:rFonts w:hint="eastAsia" w:eastAsia="方正仿宋_GBK"/>
          <w:kern w:val="2"/>
          <w:szCs w:val="32"/>
        </w:rPr>
        <w:t>测报告中不得出现“本报告仅对来样负责”字样，检测机构应对取样</w:t>
      </w:r>
      <w:r>
        <w:rPr>
          <w:rFonts w:eastAsia="方正仿宋_GBK"/>
          <w:kern w:val="2"/>
          <w:szCs w:val="32"/>
        </w:rPr>
        <w:t>检测试样的符合性、真实性及代表性</w:t>
      </w:r>
      <w:r>
        <w:rPr>
          <w:rFonts w:hint="eastAsia" w:eastAsia="方正仿宋_GBK"/>
          <w:kern w:val="2"/>
          <w:szCs w:val="32"/>
        </w:rPr>
        <w:t>负责。</w:t>
      </w:r>
    </w:p>
    <w:p w14:paraId="2B05CC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方正仿宋_GBK"/>
          <w:kern w:val="2"/>
          <w:szCs w:val="32"/>
        </w:rPr>
      </w:pPr>
      <w:r>
        <w:rPr>
          <w:rFonts w:eastAsia="方正楷体_GBK"/>
          <w:snapToGrid w:val="0"/>
        </w:rPr>
        <w:t>（四）工程质量监督机构。</w:t>
      </w:r>
      <w:r>
        <w:rPr>
          <w:rFonts w:eastAsia="方正仿宋_GBK"/>
          <w:kern w:val="2"/>
          <w:szCs w:val="32"/>
        </w:rPr>
        <w:t>工程质量监督机构在工程质量监督时应将以上类别建筑材料作为必查内容，对进场未施工的进行随机监督抽测、对已施工的开展实体抽测、对工地留样室及检测机构留样</w:t>
      </w:r>
      <w:r>
        <w:rPr>
          <w:rFonts w:hint="eastAsia" w:eastAsia="方正仿宋_GBK"/>
          <w:kern w:val="2"/>
          <w:szCs w:val="32"/>
        </w:rPr>
        <w:t>样品</w:t>
      </w:r>
      <w:r>
        <w:rPr>
          <w:rFonts w:eastAsia="方正仿宋_GBK"/>
          <w:kern w:val="2"/>
          <w:szCs w:val="32"/>
        </w:rPr>
        <w:t>进行随机抽样复测，抽测不合格或发现责任单位弄虚作假的，一律退场或返工，并依法依规对相关责任单位进行处理。</w:t>
      </w:r>
    </w:p>
    <w:p w14:paraId="60A5A8A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ascii="Times New Roman" w:hAnsi="Times New Roman" w:eastAsia="方正黑体_GBK" w:cs="Times New Roman"/>
          <w:b w:val="0"/>
          <w:bCs w:val="0"/>
          <w:kern w:val="2"/>
          <w:sz w:val="32"/>
          <w:szCs w:val="32"/>
          <w:lang w:val="en-US" w:eastAsia="zh-CN" w:bidi="ar-SA"/>
        </w:rPr>
      </w:pPr>
      <w:r>
        <w:rPr>
          <w:rFonts w:ascii="Times New Roman" w:hAnsi="Times New Roman" w:eastAsia="方正黑体_GBK" w:cs="Times New Roman"/>
          <w:b w:val="0"/>
          <w:bCs w:val="0"/>
          <w:kern w:val="2"/>
          <w:sz w:val="32"/>
          <w:szCs w:val="32"/>
          <w:lang w:val="en-US" w:eastAsia="zh-CN" w:bidi="ar-SA"/>
        </w:rPr>
        <w:t>三、工作要求</w:t>
      </w:r>
    </w:p>
    <w:p w14:paraId="47D40D4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方正仿宋_GBK"/>
          <w:kern w:val="2"/>
          <w:szCs w:val="32"/>
        </w:rPr>
      </w:pPr>
      <w:r>
        <w:rPr>
          <w:rFonts w:eastAsia="方正楷体_GBK"/>
          <w:snapToGrid w:val="0"/>
        </w:rPr>
        <w:t>（一）加强组织领导。</w:t>
      </w:r>
      <w:r>
        <w:rPr>
          <w:rFonts w:eastAsia="方正仿宋_GBK"/>
          <w:kern w:val="2"/>
          <w:szCs w:val="32"/>
        </w:rPr>
        <w:t>各县（市）区建设行政主管部门要高度重视，严格按照通知要求</w:t>
      </w:r>
      <w:r>
        <w:rPr>
          <w:rFonts w:hint="eastAsia" w:eastAsia="方正仿宋_GBK"/>
          <w:kern w:val="2"/>
          <w:szCs w:val="32"/>
        </w:rPr>
        <w:t>推进落实</w:t>
      </w:r>
      <w:r>
        <w:rPr>
          <w:rFonts w:eastAsia="方正仿宋_GBK"/>
          <w:kern w:val="2"/>
          <w:szCs w:val="32"/>
        </w:rPr>
        <w:t>工程建筑材料检测机构现场取样工作，确保工作有序开展。</w:t>
      </w:r>
      <w:r>
        <w:rPr>
          <w:rFonts w:hint="eastAsia" w:eastAsia="方正仿宋_GBK"/>
          <w:kern w:val="2"/>
          <w:szCs w:val="32"/>
        </w:rPr>
        <w:t>可委托所属工程质量监督机构具体实施。</w:t>
      </w:r>
    </w:p>
    <w:p w14:paraId="040C78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方正仿宋_GBK"/>
          <w:kern w:val="2"/>
          <w:szCs w:val="32"/>
        </w:rPr>
      </w:pPr>
      <w:r>
        <w:rPr>
          <w:rFonts w:eastAsia="方正楷体_GBK"/>
          <w:snapToGrid w:val="0"/>
        </w:rPr>
        <w:t>（二）协作共同推进。</w:t>
      </w:r>
      <w:r>
        <w:rPr>
          <w:rFonts w:eastAsia="方正仿宋_GBK"/>
          <w:kern w:val="2"/>
          <w:szCs w:val="32"/>
        </w:rPr>
        <w:t>各建设、施工、监理单位，各检测机构要严格按照职责分工，认真落实责任，确保建筑材料现场取样工作有序进行</w:t>
      </w:r>
      <w:r>
        <w:rPr>
          <w:rFonts w:hint="eastAsia" w:eastAsia="方正仿宋_GBK"/>
          <w:kern w:val="2"/>
          <w:szCs w:val="32"/>
        </w:rPr>
        <w:t>，实现建筑材料应检尽检</w:t>
      </w:r>
      <w:r>
        <w:rPr>
          <w:rFonts w:eastAsia="方正仿宋_GBK"/>
          <w:kern w:val="2"/>
          <w:szCs w:val="32"/>
        </w:rPr>
        <w:t>。加强对检测行为的管理，发现</w:t>
      </w:r>
      <w:r>
        <w:rPr>
          <w:rFonts w:hint="eastAsia" w:eastAsia="方正仿宋_GBK"/>
          <w:kern w:val="2"/>
          <w:szCs w:val="32"/>
        </w:rPr>
        <w:t>建筑材料未检先用或</w:t>
      </w:r>
      <w:r>
        <w:rPr>
          <w:rFonts w:eastAsia="方正仿宋_GBK"/>
          <w:kern w:val="2"/>
          <w:szCs w:val="32"/>
        </w:rPr>
        <w:t>虚假取样、送样</w:t>
      </w:r>
      <w:r>
        <w:rPr>
          <w:rFonts w:hint="eastAsia" w:eastAsia="方正仿宋_GBK"/>
          <w:kern w:val="2"/>
          <w:szCs w:val="32"/>
        </w:rPr>
        <w:t>、</w:t>
      </w:r>
      <w:r>
        <w:rPr>
          <w:rFonts w:eastAsia="方正仿宋_GBK"/>
          <w:kern w:val="2"/>
          <w:szCs w:val="32"/>
        </w:rPr>
        <w:t>检测等违法违规行为的应及时纠正，并上报主管部门。</w:t>
      </w:r>
    </w:p>
    <w:p w14:paraId="06EF33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方正仿宋_GBK"/>
          <w:spacing w:val="-6"/>
          <w:kern w:val="2"/>
          <w:szCs w:val="32"/>
        </w:rPr>
      </w:pPr>
      <w:r>
        <w:rPr>
          <w:rFonts w:eastAsia="方正楷体_GBK"/>
          <w:snapToGrid w:val="0"/>
        </w:rPr>
        <w:t>（三）加强监督检查。</w:t>
      </w:r>
      <w:r>
        <w:rPr>
          <w:rFonts w:eastAsia="方正仿宋_GBK"/>
          <w:snapToGrid w:val="0"/>
          <w:kern w:val="2"/>
          <w:szCs w:val="32"/>
        </w:rPr>
        <w:t>各</w:t>
      </w:r>
      <w:r>
        <w:rPr>
          <w:rFonts w:eastAsia="方正仿宋_GBK"/>
          <w:kern w:val="2"/>
          <w:szCs w:val="32"/>
        </w:rPr>
        <w:t>县（市）区建设行政主管部门及其</w:t>
      </w:r>
      <w:r>
        <w:rPr>
          <w:rFonts w:hint="eastAsia" w:eastAsia="方正仿宋_GBK"/>
          <w:kern w:val="2"/>
          <w:szCs w:val="32"/>
        </w:rPr>
        <w:t>所</w:t>
      </w:r>
      <w:r>
        <w:rPr>
          <w:rFonts w:eastAsia="方正仿宋_GBK"/>
          <w:kern w:val="2"/>
          <w:szCs w:val="32"/>
        </w:rPr>
        <w:t>属质量监督机构要把工程建筑材料检测机构现场取样工作列入日常监督检查的重要内容，对</w:t>
      </w:r>
      <w:r>
        <w:rPr>
          <w:rFonts w:hint="eastAsia" w:eastAsia="方正仿宋_GBK"/>
          <w:kern w:val="2"/>
          <w:szCs w:val="32"/>
        </w:rPr>
        <w:t>建筑材料未检先用或取样、检测过程弄虚作假的</w:t>
      </w:r>
      <w:r>
        <w:rPr>
          <w:rFonts w:eastAsia="方正仿宋_GBK"/>
          <w:kern w:val="2"/>
          <w:szCs w:val="32"/>
        </w:rPr>
        <w:t>，加大监督检查力度和</w:t>
      </w:r>
      <w:r>
        <w:rPr>
          <w:rFonts w:hint="eastAsia" w:eastAsia="方正仿宋_GBK"/>
          <w:kern w:val="2"/>
          <w:szCs w:val="32"/>
        </w:rPr>
        <w:t>留样复测频次</w:t>
      </w:r>
      <w:r>
        <w:rPr>
          <w:rFonts w:eastAsia="方正仿宋_GBK"/>
          <w:kern w:val="2"/>
          <w:szCs w:val="32"/>
        </w:rPr>
        <w:t>，</w:t>
      </w:r>
      <w:r>
        <w:rPr>
          <w:rFonts w:hint="eastAsia" w:eastAsia="方正仿宋_GBK"/>
          <w:kern w:val="2"/>
          <w:szCs w:val="32"/>
        </w:rPr>
        <w:t>依法依规移交处罚，处罚信息纳入全国信用信息共享平台和国</w:t>
      </w:r>
      <w:r>
        <w:rPr>
          <w:rFonts w:hint="eastAsia" w:eastAsia="方正仿宋_GBK"/>
          <w:spacing w:val="-6"/>
          <w:kern w:val="2"/>
          <w:szCs w:val="32"/>
        </w:rPr>
        <w:t>家企业信用信息公示系统，实施联合惩戒，</w:t>
      </w:r>
      <w:r>
        <w:rPr>
          <w:rFonts w:eastAsia="方正仿宋_GBK"/>
          <w:spacing w:val="-6"/>
          <w:kern w:val="2"/>
          <w:szCs w:val="32"/>
        </w:rPr>
        <w:t>确保工作落实到位。</w:t>
      </w:r>
    </w:p>
    <w:p w14:paraId="0DAE96C7">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eastAsia="宋体"/>
          <w:color w:val="222222"/>
          <w:kern w:val="2"/>
          <w:sz w:val="31"/>
          <w:szCs w:val="31"/>
          <w:shd w:val="clear" w:color="auto" w:fill="FFFFFF"/>
        </w:rPr>
      </w:pPr>
    </w:p>
    <w:p w14:paraId="24C53C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方正仿宋_GBK"/>
          <w:kern w:val="2"/>
          <w:szCs w:val="32"/>
        </w:rPr>
      </w:pPr>
      <w:r>
        <w:rPr>
          <w:rFonts w:eastAsia="方正仿宋_GBK"/>
          <w:kern w:val="2"/>
          <w:szCs w:val="32"/>
        </w:rPr>
        <w:t>附件：</w:t>
      </w:r>
      <w:r>
        <w:rPr>
          <w:rFonts w:hint="eastAsia" w:eastAsia="方正仿宋_GBK"/>
          <w:kern w:val="2"/>
          <w:szCs w:val="32"/>
        </w:rPr>
        <w:t>检测机构现场</w:t>
      </w:r>
      <w:r>
        <w:rPr>
          <w:rFonts w:eastAsia="方正仿宋_GBK"/>
          <w:kern w:val="2"/>
          <w:szCs w:val="32"/>
        </w:rPr>
        <w:t>取样记录表</w:t>
      </w:r>
    </w:p>
    <w:p w14:paraId="1C01B0F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方正仿宋_GBK"/>
          <w:kern w:val="2"/>
          <w:szCs w:val="32"/>
        </w:rPr>
      </w:pPr>
    </w:p>
    <w:p w14:paraId="379568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方正仿宋_GBK"/>
          <w:kern w:val="2"/>
          <w:szCs w:val="32"/>
        </w:rPr>
      </w:pPr>
    </w:p>
    <w:p w14:paraId="712E9782">
      <w:pPr>
        <w:keepNext w:val="0"/>
        <w:keepLines w:val="0"/>
        <w:pageBreakBefore w:val="0"/>
        <w:widowControl w:val="0"/>
        <w:kinsoku/>
        <w:wordWrap/>
        <w:overflowPunct/>
        <w:topLinePunct w:val="0"/>
        <w:autoSpaceDE/>
        <w:autoSpaceDN/>
        <w:bidi w:val="0"/>
        <w:adjustRightInd/>
        <w:snapToGrid/>
        <w:spacing w:line="590" w:lineRule="exact"/>
        <w:ind w:right="640" w:rightChars="200"/>
        <w:jc w:val="right"/>
        <w:textAlignment w:val="auto"/>
        <w:rPr>
          <w:rFonts w:hint="eastAsia" w:ascii="方正仿宋_GBK" w:eastAsia="方正仿宋_GBK"/>
          <w:kern w:val="2"/>
          <w:szCs w:val="32"/>
        </w:rPr>
      </w:pPr>
      <w:r>
        <w:rPr>
          <w:rFonts w:hint="eastAsia" w:ascii="方正仿宋_GBK" w:eastAsia="方正仿宋_GBK"/>
          <w:kern w:val="2"/>
          <w:szCs w:val="32"/>
        </w:rPr>
        <w:t>南通市住房和城乡建设局</w:t>
      </w:r>
    </w:p>
    <w:p w14:paraId="5C87B3FC">
      <w:pPr>
        <w:keepNext w:val="0"/>
        <w:keepLines w:val="0"/>
        <w:pageBreakBefore w:val="0"/>
        <w:widowControl w:val="0"/>
        <w:kinsoku/>
        <w:wordWrap/>
        <w:overflowPunct/>
        <w:topLinePunct w:val="0"/>
        <w:autoSpaceDE/>
        <w:autoSpaceDN/>
        <w:bidi w:val="0"/>
        <w:adjustRightInd/>
        <w:snapToGrid/>
        <w:spacing w:line="590" w:lineRule="exact"/>
        <w:ind w:right="1120" w:rightChars="350"/>
        <w:jc w:val="right"/>
        <w:textAlignment w:val="auto"/>
        <w:rPr>
          <w:rFonts w:ascii="方正仿宋_GBK" w:eastAsia="方正仿宋_GBK"/>
          <w:kern w:val="2"/>
          <w:szCs w:val="32"/>
        </w:rPr>
      </w:pPr>
      <w:r>
        <w:rPr>
          <w:rFonts w:hint="eastAsia" w:ascii="方正仿宋_GBK" w:eastAsia="方正仿宋_GBK"/>
          <w:kern w:val="2"/>
          <w:szCs w:val="32"/>
        </w:rPr>
        <w:t>2025年5月27日</w:t>
      </w:r>
    </w:p>
    <w:p w14:paraId="06404083">
      <w:pPr>
        <w:keepNext w:val="0"/>
        <w:keepLines w:val="0"/>
        <w:pageBreakBefore w:val="0"/>
        <w:widowControl w:val="0"/>
        <w:kinsoku/>
        <w:wordWrap/>
        <w:overflowPunct/>
        <w:topLinePunct w:val="0"/>
        <w:autoSpaceDE/>
        <w:autoSpaceDN/>
        <w:bidi w:val="0"/>
        <w:adjustRightInd/>
        <w:snapToGrid/>
        <w:spacing w:line="590" w:lineRule="exact"/>
        <w:ind w:right="1120" w:rightChars="350"/>
        <w:jc w:val="right"/>
        <w:textAlignment w:val="auto"/>
        <w:rPr>
          <w:rFonts w:ascii="方正仿宋_GBK" w:eastAsia="方正仿宋_GBK"/>
          <w:kern w:val="2"/>
          <w:szCs w:val="32"/>
        </w:rPr>
      </w:pPr>
    </w:p>
    <w:p w14:paraId="76FE931D">
      <w:pPr>
        <w:keepNext w:val="0"/>
        <w:keepLines w:val="0"/>
        <w:pageBreakBefore w:val="0"/>
        <w:widowControl w:val="0"/>
        <w:kinsoku/>
        <w:wordWrap/>
        <w:overflowPunct/>
        <w:topLinePunct w:val="0"/>
        <w:autoSpaceDE/>
        <w:autoSpaceDN/>
        <w:bidi w:val="0"/>
        <w:adjustRightInd/>
        <w:snapToGrid/>
        <w:spacing w:line="590" w:lineRule="exact"/>
        <w:ind w:right="1120" w:rightChars="350"/>
        <w:jc w:val="right"/>
        <w:textAlignment w:val="auto"/>
        <w:rPr>
          <w:rFonts w:ascii="方正仿宋_GBK" w:eastAsia="方正仿宋_GBK"/>
          <w:kern w:val="2"/>
          <w:szCs w:val="32"/>
        </w:rPr>
      </w:pPr>
    </w:p>
    <w:p w14:paraId="0D590402">
      <w:pPr>
        <w:keepNext w:val="0"/>
        <w:keepLines w:val="0"/>
        <w:pageBreakBefore w:val="0"/>
        <w:widowControl w:val="0"/>
        <w:kinsoku/>
        <w:wordWrap/>
        <w:overflowPunct/>
        <w:topLinePunct w:val="0"/>
        <w:autoSpaceDE/>
        <w:autoSpaceDN/>
        <w:bidi w:val="0"/>
        <w:adjustRightInd/>
        <w:snapToGrid/>
        <w:spacing w:line="590" w:lineRule="exact"/>
        <w:ind w:right="1120" w:rightChars="350"/>
        <w:jc w:val="right"/>
        <w:textAlignment w:val="auto"/>
        <w:rPr>
          <w:rFonts w:ascii="方正仿宋_GBK" w:eastAsia="方正仿宋_GBK"/>
          <w:kern w:val="2"/>
          <w:szCs w:val="32"/>
        </w:rPr>
      </w:pPr>
    </w:p>
    <w:p w14:paraId="58C766D4">
      <w:pPr>
        <w:keepNext w:val="0"/>
        <w:keepLines w:val="0"/>
        <w:pageBreakBefore w:val="0"/>
        <w:widowControl w:val="0"/>
        <w:kinsoku/>
        <w:wordWrap/>
        <w:overflowPunct/>
        <w:topLinePunct w:val="0"/>
        <w:autoSpaceDE/>
        <w:autoSpaceDN/>
        <w:bidi w:val="0"/>
        <w:adjustRightInd/>
        <w:snapToGrid/>
        <w:spacing w:line="590" w:lineRule="exact"/>
        <w:ind w:right="1120" w:rightChars="350"/>
        <w:jc w:val="right"/>
        <w:textAlignment w:val="auto"/>
        <w:rPr>
          <w:rFonts w:ascii="方正仿宋_GBK" w:eastAsia="方正仿宋_GBK"/>
          <w:kern w:val="2"/>
          <w:szCs w:val="32"/>
        </w:rPr>
      </w:pPr>
    </w:p>
    <w:p w14:paraId="565843E5">
      <w:pPr>
        <w:keepNext w:val="0"/>
        <w:keepLines w:val="0"/>
        <w:pageBreakBefore w:val="0"/>
        <w:widowControl w:val="0"/>
        <w:kinsoku/>
        <w:wordWrap/>
        <w:overflowPunct/>
        <w:topLinePunct w:val="0"/>
        <w:autoSpaceDE/>
        <w:autoSpaceDN/>
        <w:bidi w:val="0"/>
        <w:adjustRightInd/>
        <w:snapToGrid/>
        <w:spacing w:line="590" w:lineRule="exact"/>
        <w:ind w:right="1120" w:rightChars="350"/>
        <w:jc w:val="right"/>
        <w:textAlignment w:val="auto"/>
        <w:rPr>
          <w:rFonts w:ascii="方正仿宋_GBK" w:eastAsia="方正仿宋_GBK"/>
          <w:kern w:val="2"/>
          <w:szCs w:val="32"/>
        </w:rPr>
      </w:pPr>
    </w:p>
    <w:p w14:paraId="54FA973D">
      <w:pPr>
        <w:keepNext w:val="0"/>
        <w:keepLines w:val="0"/>
        <w:pageBreakBefore w:val="0"/>
        <w:widowControl w:val="0"/>
        <w:kinsoku/>
        <w:wordWrap/>
        <w:overflowPunct/>
        <w:topLinePunct w:val="0"/>
        <w:autoSpaceDE/>
        <w:autoSpaceDN/>
        <w:bidi w:val="0"/>
        <w:adjustRightInd/>
        <w:snapToGrid/>
        <w:spacing w:line="590" w:lineRule="exact"/>
        <w:ind w:right="1120" w:rightChars="350"/>
        <w:jc w:val="right"/>
        <w:textAlignment w:val="auto"/>
        <w:rPr>
          <w:rFonts w:ascii="方正仿宋_GBK" w:eastAsia="方正仿宋_GBK"/>
          <w:kern w:val="2"/>
          <w:szCs w:val="32"/>
        </w:rPr>
      </w:pPr>
    </w:p>
    <w:p w14:paraId="6F4AF6E2">
      <w:pPr>
        <w:keepNext w:val="0"/>
        <w:keepLines w:val="0"/>
        <w:pageBreakBefore w:val="0"/>
        <w:widowControl w:val="0"/>
        <w:kinsoku/>
        <w:wordWrap/>
        <w:overflowPunct/>
        <w:topLinePunct w:val="0"/>
        <w:autoSpaceDE/>
        <w:autoSpaceDN/>
        <w:bidi w:val="0"/>
        <w:adjustRightInd/>
        <w:snapToGrid/>
        <w:spacing w:line="590" w:lineRule="exact"/>
        <w:ind w:right="1120" w:rightChars="350"/>
        <w:jc w:val="right"/>
        <w:textAlignment w:val="auto"/>
        <w:rPr>
          <w:rFonts w:ascii="方正仿宋_GBK" w:eastAsia="方正仿宋_GBK"/>
          <w:kern w:val="2"/>
          <w:szCs w:val="32"/>
        </w:rPr>
      </w:pPr>
    </w:p>
    <w:p w14:paraId="6726709B">
      <w:pPr>
        <w:keepNext w:val="0"/>
        <w:keepLines w:val="0"/>
        <w:pageBreakBefore w:val="0"/>
        <w:widowControl w:val="0"/>
        <w:kinsoku/>
        <w:wordWrap/>
        <w:overflowPunct/>
        <w:topLinePunct w:val="0"/>
        <w:autoSpaceDE/>
        <w:autoSpaceDN/>
        <w:bidi w:val="0"/>
        <w:adjustRightInd/>
        <w:snapToGrid/>
        <w:spacing w:line="590" w:lineRule="exact"/>
        <w:ind w:right="1120" w:rightChars="350"/>
        <w:textAlignment w:val="auto"/>
        <w:rPr>
          <w:rFonts w:ascii="方正仿宋_GBK" w:eastAsia="方正仿宋_GBK"/>
          <w:kern w:val="2"/>
          <w:szCs w:val="32"/>
        </w:rPr>
      </w:pPr>
    </w:p>
    <w:p w14:paraId="5F9067B3">
      <w:pPr>
        <w:adjustRightInd w:val="0"/>
        <w:snapToGrid w:val="0"/>
        <w:spacing w:line="700" w:lineRule="atLeast"/>
        <w:rPr>
          <w:rFonts w:hint="eastAsia" w:ascii="方正仿宋_GBK" w:eastAsia="方正仿宋_GBK"/>
          <w:sz w:val="28"/>
          <w:szCs w:val="28"/>
        </w:rPr>
      </w:pPr>
      <w:r>
        <w:rPr>
          <w:sz w:val="28"/>
          <w:szCs w:val="28"/>
        </w:rPr>
        <mc:AlternateContent>
          <mc:Choice Requires="wps">
            <w:drawing>
              <wp:anchor distT="0" distB="0" distL="113665" distR="113665" simplePos="0" relativeHeight="251659264" behindDoc="0" locked="1" layoutInCell="0" allowOverlap="1">
                <wp:simplePos x="0" y="0"/>
                <wp:positionH relativeFrom="column">
                  <wp:posOffset>-50800</wp:posOffset>
                </wp:positionH>
                <wp:positionV relativeFrom="paragraph">
                  <wp:posOffset>32385</wp:posOffset>
                </wp:positionV>
                <wp:extent cx="5671820" cy="0"/>
                <wp:effectExtent l="0" t="0" r="0" b="0"/>
                <wp:wrapNone/>
                <wp:docPr id="9" name="直接连接符 4"/>
                <wp:cNvGraphicFramePr/>
                <a:graphic xmlns:a="http://schemas.openxmlformats.org/drawingml/2006/main">
                  <a:graphicData uri="http://schemas.microsoft.com/office/word/2010/wordprocessingShape">
                    <wps:wsp>
                      <wps:cNvCnPr/>
                      <wps:spPr>
                        <a:xfrm>
                          <a:off x="0" y="0"/>
                          <a:ext cx="5671821" cy="0"/>
                        </a:xfrm>
                        <a:prstGeom prst="line">
                          <a:avLst/>
                        </a:prstGeom>
                        <a:solidFill>
                          <a:srgbClr val="FFFFFF"/>
                        </a:solid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4" o:spid="_x0000_s1026" o:spt="20" style="position:absolute;left:0pt;margin-left:-4pt;margin-top:2.55pt;height:0pt;width:446.6pt;z-index:251659264;mso-width-relative:page;mso-height-relative:page;" fillcolor="#FFFFFF" filled="t" stroked="t" coordsize="21600,21600" o:allowincell="f" o:gfxdata="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bKF&#10;OtUAAAAGAQAADwAAAAAAAAABACAAAAAiAAAAZHJzL2Rvd25yZXYueG1sUEsBAhQAFAAAAAgAh07i&#10;QA3d7eklAgAATwQAAA4AAAAAAAAAAQAgAAAAJAEAAGRycy9lMm9Eb2MueG1sUEsFBgAAAAAGAAYA&#10;WQEAALsFAAAAAA==&#10;">
                <v:fill on="t" focussize="0,0"/>
                <v:stroke color="#000000" joinstyle="round"/>
                <v:imagedata o:title=""/>
                <o:lock v:ext="edit" aspectratio="f"/>
                <w10:anchorlock/>
              </v:line>
            </w:pict>
          </mc:Fallback>
        </mc:AlternateContent>
      </w:r>
      <w:r>
        <w:rPr>
          <w:rFonts w:ascii="仿宋_GB2312"/>
          <w:sz w:val="28"/>
          <w:szCs w:val="28"/>
        </w:rPr>
        <w:t xml:space="preserve">  </w:t>
      </w:r>
      <w:r>
        <w:rPr>
          <w:rFonts w:hint="eastAsia" w:ascii="方正仿宋_GBK" w:eastAsia="方正仿宋_GBK"/>
          <w:sz w:val="28"/>
          <w:szCs w:val="28"/>
        </w:rPr>
        <w:t>南通市住房和城乡建设局办公室</w:t>
      </w:r>
      <w:r>
        <w:rPr>
          <w:rFonts w:hint="eastAsia" w:ascii="方正仿宋_GBK" w:eastAsia="方正仿宋_GBK"/>
          <w:sz w:val="28"/>
          <w:szCs w:val="28"/>
          <w:lang w:val="en-US" w:eastAsia="zh-CN"/>
        </w:rPr>
        <w:t xml:space="preserve">            2025年5月27日</w:t>
      </w:r>
      <w:r>
        <w:rPr>
          <w:rFonts w:hint="eastAsia" w:ascii="方正仿宋_GBK" w:eastAsia="方正仿宋_GBK"/>
          <w:sz w:val="28"/>
          <w:szCs w:val="28"/>
        </w:rPr>
        <w:t>印发</w:t>
      </w:r>
    </w:p>
    <w:p w14:paraId="74E8143C">
      <w:pPr>
        <w:spacing w:line="160" w:lineRule="exact"/>
      </w:pPr>
      <w:r>
        <mc:AlternateContent>
          <mc:Choice Requires="wps">
            <w:drawing>
              <wp:anchor distT="0" distB="0" distL="113665" distR="113665" simplePos="0" relativeHeight="251659264" behindDoc="0" locked="1" layoutInCell="0" allowOverlap="1">
                <wp:simplePos x="0" y="0"/>
                <wp:positionH relativeFrom="column">
                  <wp:posOffset>-50800</wp:posOffset>
                </wp:positionH>
                <wp:positionV relativeFrom="paragraph">
                  <wp:posOffset>64770</wp:posOffset>
                </wp:positionV>
                <wp:extent cx="5671820" cy="0"/>
                <wp:effectExtent l="0" t="0" r="0" b="0"/>
                <wp:wrapNone/>
                <wp:docPr id="11" name="直接连接符 3"/>
                <wp:cNvGraphicFramePr/>
                <a:graphic xmlns:a="http://schemas.openxmlformats.org/drawingml/2006/main">
                  <a:graphicData uri="http://schemas.microsoft.com/office/word/2010/wordprocessingShape">
                    <wps:wsp>
                      <wps:cNvCnPr/>
                      <wps:spPr>
                        <a:xfrm>
                          <a:off x="0" y="0"/>
                          <a:ext cx="5671821" cy="0"/>
                        </a:xfrm>
                        <a:prstGeom prst="line">
                          <a:avLst/>
                        </a:prstGeom>
                        <a:solidFill>
                          <a:srgbClr val="FFFFFF"/>
                        </a:solidFill>
                        <a:ln w="12700"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3" o:spid="_x0000_s1026" o:spt="20" style="position:absolute;left:0pt;margin-left:-4pt;margin-top:5.1pt;height:0pt;width:446.6pt;z-index:251659264;mso-width-relative:page;mso-height-relative:page;" fillcolor="#FFFFFF" filled="t" stroked="t" coordsize="21600,21600" o:allowincell="f" o:gfxdata="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3KhPNYAAAAIAQAADwAAAAAAAAABACAAAAAiAAAAZHJzL2Rvd25yZXYueG1sUEsBAhQAFAAAAAgA&#10;h07iQNbowMAnAgAAUQQAAA4AAAAAAAAAAQAgAAAAJQEAAGRycy9lMm9Eb2MueG1sUEsFBgAAAAAG&#10;AAYAWQEAAL4FAAAAAA==&#10;">
                <v:fill on="t" focussize="0,0"/>
                <v:stroke weight="1pt" color="#000000" joinstyle="round"/>
                <v:imagedata o:title=""/>
                <o:lock v:ext="edit" aspectratio="f"/>
                <w10:anchorlock/>
              </v:line>
            </w:pict>
          </mc:Fallback>
        </mc:AlternateContent>
      </w:r>
    </w:p>
    <w:sectPr>
      <w:headerReference r:id="rId5" w:type="default"/>
      <w:footerReference r:id="rId6" w:type="default"/>
      <w:footerReference r:id="rId7" w:type="even"/>
      <w:pgSz w:w="11907" w:h="16840"/>
      <w:pgMar w:top="2098" w:right="1418" w:bottom="1984" w:left="1588" w:header="720" w:footer="1587" w:gutter="0"/>
      <w:cols w:space="720"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Luxi Sans">
    <w:altName w:val="Arial"/>
    <w:panose1 w:val="00000000000000000000"/>
    <w:charset w:val="00"/>
    <w:family w:val="auto"/>
    <w:pitch w:val="default"/>
    <w:sig w:usb0="00000000" w:usb1="00000000" w:usb2="00000000" w:usb3="00000000" w:csb0="0000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39D7">
    <w:pPr>
      <w:pStyle w:val="7"/>
      <w:ind w:right="288" w:rightChars="90"/>
      <w:jc w:val="right"/>
      <w:rPr>
        <w:rFonts w:hint="eastAsia" w:ascii="宋体" w:eastAsia="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104775</wp:posOffset>
              </wp:positionV>
              <wp:extent cx="495300" cy="262890"/>
              <wp:effectExtent l="0" t="0" r="0" b="0"/>
              <wp:wrapNone/>
              <wp:docPr id="1" name="文本框 2"/>
              <wp:cNvGraphicFramePr/>
              <a:graphic xmlns:a="http://schemas.openxmlformats.org/drawingml/2006/main">
                <a:graphicData uri="http://schemas.microsoft.com/office/word/2010/wordprocessingShape">
                  <wps:wsp>
                    <wps:cNvSpPr/>
                    <wps:spPr>
                      <a:xfrm>
                        <a:off x="0" y="0"/>
                        <a:ext cx="495300" cy="263144"/>
                      </a:xfrm>
                      <a:prstGeom prst="rect">
                        <a:avLst/>
                      </a:prstGeom>
                      <a:noFill/>
                      <a:ln w="9525" cap="flat" cmpd="sng">
                        <a:noFill/>
                        <a:prstDash val="solid"/>
                        <a:round/>
                      </a:ln>
                    </wps:spPr>
                    <wps:txbx>
                      <w:txbxContent>
                        <w:p w14:paraId="52D523F3">
                          <w:pPr>
                            <w:pStyle w:val="7"/>
                            <w:rPr>
                              <w:rFonts w:hint="eastAsia" w:eastAsia="仿宋_GB2312"/>
                              <w:lang w:eastAsia="zh-CN"/>
                            </w:rPr>
                          </w:pPr>
                          <w:r>
                            <w:rPr>
                              <w:rFonts w:hint="eastAsia"/>
                              <w:sz w:val="32"/>
                              <w:szCs w:val="32"/>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32"/>
                              <w:szCs w:val="32"/>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8.25pt;height:20.7pt;width:39pt;mso-position-horizontal:outside;mso-position-horizontal-relative:margin;mso-wrap-style:none;z-index:251659264;mso-width-relative:page;mso-height-relative:page;" filled="f" stroked="f" coordsize="21600,21600" o:gfxdata="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i5jbdMAAAAFAQAADwAAAAAAAAABACAAAAAiAAAAZHJzL2Rvd25y&#10;ZXYueG1sUEsBAhQAFAAAAAgAh07iQAYjU2YDAgAA9AMAAA4AAAAAAAAAAQAgAAAAIgEAAGRycy9l&#10;Mm9Eb2MueG1sUEsFBgAAAAAGAAYAWQEAAJcFAAAAAA==&#10;">
              <v:fill on="f" focussize="0,0"/>
              <v:stroke on="f" joinstyle="round"/>
              <v:imagedata o:title=""/>
              <o:lock v:ext="edit" aspectratio="f"/>
              <v:textbox inset="0mm,0mm,0mm,0mm" style="mso-fit-shape-to-text:t;">
                <w:txbxContent>
                  <w:p w14:paraId="52D523F3">
                    <w:pPr>
                      <w:pStyle w:val="7"/>
                      <w:rPr>
                        <w:rFonts w:hint="eastAsia" w:eastAsia="仿宋_GB2312"/>
                        <w:lang w:eastAsia="zh-CN"/>
                      </w:rPr>
                    </w:pPr>
                    <w:r>
                      <w:rPr>
                        <w:rFonts w:hint="eastAsia"/>
                        <w:sz w:val="32"/>
                        <w:szCs w:val="32"/>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32"/>
                        <w:szCs w:val="32"/>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C26C4">
    <w:pPr>
      <w:pStyle w:val="7"/>
      <w:ind w:firstLine="308" w:firstLineChars="110"/>
      <w:rPr>
        <w:rFonts w:hint="eastAsia" w:ascii="宋体" w:eastAsia="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7150" cy="152400"/>
              <wp:effectExtent l="0" t="0" r="0" b="0"/>
              <wp:wrapNone/>
              <wp:docPr id="4" name="文本框 1"/>
              <wp:cNvGraphicFramePr/>
              <a:graphic xmlns:a="http://schemas.openxmlformats.org/drawingml/2006/main">
                <a:graphicData uri="http://schemas.microsoft.com/office/word/2010/wordprocessingShape">
                  <wps:wsp>
                    <wps:cNvSpPr/>
                    <wps:spPr>
                      <a:xfrm>
                        <a:off x="0" y="0"/>
                        <a:ext cx="57150" cy="152400"/>
                      </a:xfrm>
                      <a:prstGeom prst="rect">
                        <a:avLst/>
                      </a:prstGeom>
                      <a:noFill/>
                      <a:ln w="9525" cap="flat" cmpd="sng">
                        <a:noFill/>
                        <a:prstDash val="solid"/>
                        <a:round/>
                      </a:ln>
                    </wps:spPr>
                    <wps:txbx>
                      <w:txbxContent>
                        <w:p w14:paraId="3ADA8FFF">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2pt;width:4.5pt;mso-position-horizontal:outside;mso-position-horizontal-relative:margin;mso-wrap-style:none;z-index:251659264;mso-width-relative:page;mso-height-relative:page;" filled="f" stroked="f" coordsize="21600,21600" o:gfxdata="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m1gPNAAAAACAQAADwAAAAAAAAABACAAAAAiAAAAZHJzL2Rvd25yZXYu&#10;eG1sUEsBAhQAFAAAAAgAh07iQHJbVioDAgAA8wMAAA4AAAAAAAAAAQAgAAAAHwEAAGRycy9lMm9E&#10;b2MueG1sUEsFBgAAAAAGAAYAWQEAAJQFAAAAAA==&#10;">
              <v:fill on="f" focussize="0,0"/>
              <v:stroke on="f" joinstyle="round"/>
              <v:imagedata o:title=""/>
              <o:lock v:ext="edit" aspectratio="f"/>
              <v:textbox inset="0mm,0mm,0mm,0mm" style="mso-fit-shape-to-text:t;">
                <w:txbxContent>
                  <w:p w14:paraId="3ADA8FFF">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9E3A0">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trackRevisions w:val="1"/>
  <w:documentProtection w:enforcement="0"/>
  <w:defaultTabStop w:val="425"/>
  <w:drawingGridHorizontalSpacing w:val="319"/>
  <w:drawingGridVerticalSpacing w:val="579"/>
  <w:displayHorizontalDrawingGridEvery w:val="0"/>
  <w:displayVerticalDrawingGridEvery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ulTrailSpace/>
    <w:doNotExpandShiftReturn/>
    <w:useFELayout/>
    <w:compatSetting w:name="compatibilityMode" w:uri="http://schemas.microsoft.com/office/word" w:val="14"/>
  </w:compat>
  <w:docVars>
    <w:docVar w:name="commondata" w:val="eyJoZGlkIjoiMjk4NGNjYTQyNGY1YmMxMTdiZGM2ZWE1MzUwYjA5OWMifQ=="/>
  </w:docVars>
  <w:rsids>
    <w:rsidRoot w:val="00000000"/>
    <w:rsid w:val="711258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仿宋_GB2312" w:cs="Times New Roman"/>
      <w:sz w:val="32"/>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adjustRightInd w:val="0"/>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9">
    <w:name w:val="Normal (Web)"/>
    <w:basedOn w:val="1"/>
    <w:qFormat/>
    <w:uiPriority w:val="0"/>
    <w:pPr>
      <w:adjustRightInd/>
      <w:spacing w:beforeAutospacing="1" w:afterAutospacing="1" w:line="240" w:lineRule="auto"/>
      <w:jc w:val="left"/>
      <w:textAlignment w:val="auto"/>
    </w:pPr>
    <w:rPr>
      <w:rFonts w:ascii="Calibri" w:hAnsi="Calibri" w:eastAsia="宋体" w:cs="Arial"/>
      <w:sz w:val="24"/>
      <w:szCs w:val="24"/>
    </w:rPr>
  </w:style>
  <w:style w:type="character" w:styleId="12">
    <w:name w:val="page number"/>
    <w:basedOn w:val="11"/>
    <w:qFormat/>
    <w:uiPriority w:val="0"/>
  </w:style>
  <w:style w:type="character" w:styleId="13">
    <w:name w:val="annotation reference"/>
    <w:qFormat/>
    <w:uiPriority w:val="0"/>
    <w:rPr>
      <w:sz w:val="21"/>
    </w:rPr>
  </w:style>
  <w:style w:type="paragraph" w:customStyle="1" w:styleId="14">
    <w:name w:val="标题1"/>
    <w:basedOn w:val="1"/>
    <w:next w:val="1"/>
    <w:qFormat/>
    <w:uiPriority w:val="0"/>
    <w:pPr>
      <w:tabs>
        <w:tab w:val="left" w:pos="9193"/>
        <w:tab w:val="left" w:pos="9827"/>
      </w:tabs>
      <w:overflowPunct w:val="0"/>
      <w:autoSpaceDE w:val="0"/>
      <w:autoSpaceDN w:val="0"/>
      <w:adjustRightInd/>
      <w:snapToGrid w:val="0"/>
      <w:spacing w:line="760" w:lineRule="atLeast"/>
      <w:jc w:val="center"/>
      <w:textAlignment w:val="auto"/>
    </w:pPr>
    <w:rPr>
      <w:rFonts w:ascii="方正小标宋_GBK" w:eastAsia="方正小标宋_GBK"/>
      <w:kern w:val="2"/>
      <w:sz w:val="44"/>
    </w:rPr>
  </w:style>
  <w:style w:type="paragraph" w:customStyle="1" w:styleId="15">
    <w:name w:val=" Char"/>
    <w:basedOn w:val="1"/>
    <w:qFormat/>
    <w:uiPriority w:val="0"/>
    <w:pPr>
      <w:adjustRightInd/>
      <w:spacing w:line="240" w:lineRule="auto"/>
      <w:textAlignment w:val="auto"/>
    </w:pPr>
    <w:rPr>
      <w:rFonts w:ascii="Tahoma" w:hAnsi="Tahoma" w:eastAsia="宋体"/>
      <w:kern w:val="2"/>
      <w:sz w:val="24"/>
    </w:rPr>
  </w:style>
  <w:style w:type="paragraph" w:customStyle="1" w:styleId="16">
    <w:name w:val="Table Text"/>
    <w:basedOn w:val="1"/>
    <w:qFormat/>
    <w:uiPriority w:val="0"/>
    <w:pPr>
      <w:adjustRightInd/>
      <w:spacing w:line="240" w:lineRule="atLeast"/>
      <w:textAlignment w:val="auto"/>
    </w:pPr>
    <w:rPr>
      <w:rFonts w:ascii="Arial" w:hAnsi="Arial" w:eastAsia="Arial" w:cs="Arial"/>
      <w:spacing w:val="-6"/>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BGZ</Company>
  <Pages>4</Pages>
  <Words>1503</Words>
  <Characters>1521</Characters>
  <Lines>84</Lines>
  <Paragraphs>22</Paragraphs>
  <TotalTime>33</TotalTime>
  <ScaleCrop>false</ScaleCrop>
  <LinksUpToDate>false</LinksUpToDate>
  <CharactersWithSpaces>1535</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2001-04-03T04:41:00Z</dcterms:created>
  <dc:creator>李平</dc:creator>
  <cp:lastModifiedBy>MoYan_杨</cp:lastModifiedBy>
  <cp:lastPrinted>2001-04-11T07:00:00Z</cp:lastPrinted>
  <dcterms:modified xsi:type="dcterms:W3CDTF">2025-06-20T01:25:07Z</dcterms:modified>
  <dc:title>主题词：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84CAF648F3494B598CFCCAD58C879D7D_13</vt:lpwstr>
  </property>
  <property fmtid="{D5CDD505-2E9C-101B-9397-08002B2CF9AE}" pid="3" name="KSOProductBuildVer">
    <vt:lpwstr>2052-12.1.0.21171</vt:lpwstr>
  </property>
</Properties>
</file>